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040CD" w14:textId="77777777" w:rsidR="00E47747" w:rsidRPr="00E47747" w:rsidRDefault="00E47747" w:rsidP="00E47747">
      <w:pPr>
        <w:contextualSpacing/>
        <w:rPr>
          <w:b/>
          <w:sz w:val="24"/>
        </w:rPr>
      </w:pPr>
      <w:r w:rsidRPr="00E47747">
        <w:rPr>
          <w:b/>
          <w:sz w:val="24"/>
        </w:rPr>
        <w:t>Match</w:t>
      </w:r>
    </w:p>
    <w:p w14:paraId="638FA007" w14:textId="45525FF8" w:rsidR="00FD05D8" w:rsidRDefault="00E47747" w:rsidP="00FD05D8">
      <w:pPr>
        <w:contextualSpacing/>
        <w:rPr>
          <w:rFonts w:ascii="Arial" w:eastAsia="Times New Roman" w:hAnsi="Arial" w:cs="Arial"/>
          <w:b/>
          <w:bCs/>
          <w:color w:val="403E3A"/>
          <w:sz w:val="21"/>
          <w:szCs w:val="21"/>
        </w:rPr>
      </w:pPr>
      <w:r>
        <w:t xml:space="preserve">The HEARTH Act allows both cash and in-kind contributions for the HUD required program Match. Eligible funding costs (including every line item within your budget except leasing) must be matched with a minimum of 25 percent cash or in-kind match. Match </w:t>
      </w:r>
      <w:r w:rsidRPr="00732547">
        <w:rPr>
          <w:b/>
          <w:u w:val="single"/>
        </w:rPr>
        <w:t xml:space="preserve">must </w:t>
      </w:r>
      <w:r>
        <w:t xml:space="preserve">be used for eligible activities as defined by the </w:t>
      </w:r>
      <w:r w:rsidRPr="00E47747">
        <w:rPr>
          <w:i/>
        </w:rPr>
        <w:t>CoC Program Interim Rule</w:t>
      </w:r>
      <w:r>
        <w:t>.  Please note, CoC Program funds cannot be used as a match for other CoC funded projects.</w:t>
      </w:r>
      <w:r w:rsidR="00FD05D8" w:rsidRPr="00FD05D8">
        <w:rPr>
          <w:rFonts w:ascii="Arial" w:eastAsia="Times New Roman" w:hAnsi="Arial" w:cs="Arial"/>
          <w:b/>
          <w:bCs/>
          <w:color w:val="403E3A"/>
          <w:sz w:val="21"/>
          <w:szCs w:val="21"/>
        </w:rPr>
        <w:t xml:space="preserve"> </w:t>
      </w:r>
    </w:p>
    <w:p w14:paraId="1F4275BC" w14:textId="77777777" w:rsidR="00FD05D8" w:rsidRPr="00FD05D8" w:rsidRDefault="00FD05D8" w:rsidP="00FD05D8">
      <w:pPr>
        <w:contextualSpacing/>
        <w:rPr>
          <w:rFonts w:ascii="Arial" w:eastAsia="Times New Roman" w:hAnsi="Arial" w:cs="Arial"/>
          <w:b/>
          <w:bCs/>
          <w:color w:val="403E3A"/>
          <w:sz w:val="21"/>
          <w:szCs w:val="21"/>
        </w:rPr>
      </w:pPr>
    </w:p>
    <w:p w14:paraId="6A3C3F6E" w14:textId="4C445342" w:rsidR="00FD05D8" w:rsidRPr="00FD05D8" w:rsidRDefault="00FD05D8" w:rsidP="00FD05D8">
      <w:pPr>
        <w:contextualSpacing/>
        <w:rPr>
          <w:b/>
          <w:bCs/>
        </w:rPr>
      </w:pPr>
      <w:r>
        <w:rPr>
          <w:b/>
          <w:bCs/>
        </w:rPr>
        <w:t>In-kind match</w:t>
      </w:r>
    </w:p>
    <w:p w14:paraId="591040CE" w14:textId="6099ED4D" w:rsidR="00E47747" w:rsidRDefault="00FD05D8" w:rsidP="00E47747">
      <w:pPr>
        <w:contextualSpacing/>
      </w:pPr>
      <w:r w:rsidRPr="00FD05D8">
        <w:t>In-kind match is the value of any real property, equipment, goods, or services contributed to a CoC Program grant that would have been eligible costs under the CoC Program if the recipient/subrecipient was required to pay for such costs with CoC Program grant funds</w:t>
      </w:r>
      <w:r w:rsidR="00602F6E">
        <w:t>.</w:t>
      </w:r>
    </w:p>
    <w:p w14:paraId="193345FD" w14:textId="035E95F5" w:rsidR="00FD05D8" w:rsidRPr="00FD05D8" w:rsidRDefault="00FD05D8" w:rsidP="00FD05D8">
      <w:pPr>
        <w:contextualSpacing/>
        <w:rPr>
          <w:b/>
          <w:bCs/>
        </w:rPr>
      </w:pPr>
      <w:r>
        <w:rPr>
          <w:b/>
          <w:bCs/>
        </w:rPr>
        <w:t>Cash match</w:t>
      </w:r>
    </w:p>
    <w:p w14:paraId="5F10CA68" w14:textId="3BA7774A" w:rsidR="00FD05D8" w:rsidRPr="00FD05D8" w:rsidRDefault="00FD05D8" w:rsidP="00FD05D8">
      <w:pPr>
        <w:contextualSpacing/>
      </w:pPr>
      <w:r w:rsidRPr="00FD05D8">
        <w:t xml:space="preserve">Cash match is actual cash contributed to a CoC Program grant provided that the cash contribution is spent on eligible CoC Program </w:t>
      </w:r>
      <w:r>
        <w:t xml:space="preserve">as noted within the </w:t>
      </w:r>
      <w:r w:rsidRPr="00FD05D8">
        <w:t>CoC Program Interim Rule.</w:t>
      </w:r>
    </w:p>
    <w:p w14:paraId="591040CF" w14:textId="5847609E" w:rsidR="00E47747" w:rsidRPr="00FD05D8" w:rsidRDefault="00E47747" w:rsidP="00E47747">
      <w:pPr>
        <w:contextualSpacing/>
      </w:pPr>
    </w:p>
    <w:p w14:paraId="591040D0" w14:textId="77777777" w:rsidR="00E47747" w:rsidRPr="00E47747" w:rsidRDefault="00E47747" w:rsidP="00E47747">
      <w:pPr>
        <w:contextualSpacing/>
        <w:rPr>
          <w:b/>
          <w:sz w:val="24"/>
        </w:rPr>
      </w:pPr>
      <w:r w:rsidRPr="00E47747">
        <w:rPr>
          <w:b/>
          <w:sz w:val="24"/>
        </w:rPr>
        <w:t>Leverage</w:t>
      </w:r>
    </w:p>
    <w:p w14:paraId="7DF4E33B" w14:textId="77777777" w:rsidR="00FD05D8" w:rsidRPr="00FD05D8" w:rsidRDefault="00FD05D8" w:rsidP="00FD05D8">
      <w:pPr>
        <w:contextualSpacing/>
      </w:pPr>
      <w:r w:rsidRPr="00FD05D8">
        <w:t>Leverage is the non-match cash or non-match in-kind resources committed to making a CoC Program project fully operational. This includes all resources in excess of the required 25 percent match for CoC Program funds as well as other resources that are used on costs that are ineligible in the CoC Program.</w:t>
      </w:r>
    </w:p>
    <w:p w14:paraId="591040D1" w14:textId="1F1698B3" w:rsidR="00E47747" w:rsidRDefault="00FD05D8" w:rsidP="00E47747">
      <w:pPr>
        <w:contextualSpacing/>
      </w:pPr>
      <w:r w:rsidRPr="00FD05D8">
        <w:t>Leverage funds may be used for any program related costs, even if the costs are not budgeted or not eligible in the CoC Program. Leverage may be used to support any activity within the project</w:t>
      </w:r>
      <w:r>
        <w:t xml:space="preserve">.  </w:t>
      </w:r>
      <w:r w:rsidR="00E47747">
        <w:t xml:space="preserve">An example of leverage is food from the local food pantry or medical services received.  The below chart notes additional sources that can be documented as leverage.  </w:t>
      </w:r>
    </w:p>
    <w:p w14:paraId="591040D2" w14:textId="77777777" w:rsidR="00E47747" w:rsidRDefault="00E47747" w:rsidP="00E47747">
      <w:pPr>
        <w:contextualSpacing/>
      </w:pPr>
    </w:p>
    <w:tbl>
      <w:tblPr>
        <w:tblStyle w:val="TableGrid"/>
        <w:tblW w:w="0" w:type="auto"/>
        <w:tblLayout w:type="fixed"/>
        <w:tblLook w:val="04A0" w:firstRow="1" w:lastRow="0" w:firstColumn="1" w:lastColumn="0" w:noHBand="0" w:noVBand="1"/>
      </w:tblPr>
      <w:tblGrid>
        <w:gridCol w:w="1368"/>
        <w:gridCol w:w="1440"/>
        <w:gridCol w:w="1530"/>
        <w:gridCol w:w="1440"/>
        <w:gridCol w:w="1710"/>
        <w:gridCol w:w="1800"/>
      </w:tblGrid>
      <w:tr w:rsidR="00E47747" w14:paraId="591040D9" w14:textId="77777777" w:rsidTr="0041213A">
        <w:tc>
          <w:tcPr>
            <w:tcW w:w="1368" w:type="dxa"/>
            <w:shd w:val="clear" w:color="auto" w:fill="BFBFBF" w:themeFill="background1" w:themeFillShade="BF"/>
          </w:tcPr>
          <w:p w14:paraId="591040D3" w14:textId="77777777" w:rsidR="00E47747" w:rsidRPr="00E47747" w:rsidRDefault="00E47747" w:rsidP="00E47747">
            <w:pPr>
              <w:contextualSpacing/>
              <w:jc w:val="center"/>
              <w:rPr>
                <w:b/>
              </w:rPr>
            </w:pPr>
            <w:r w:rsidRPr="00E47747">
              <w:rPr>
                <w:b/>
              </w:rPr>
              <w:t>Cash</w:t>
            </w:r>
          </w:p>
        </w:tc>
        <w:tc>
          <w:tcPr>
            <w:tcW w:w="1440" w:type="dxa"/>
            <w:shd w:val="clear" w:color="auto" w:fill="BFBFBF" w:themeFill="background1" w:themeFillShade="BF"/>
          </w:tcPr>
          <w:p w14:paraId="591040D4" w14:textId="77777777" w:rsidR="00E47747" w:rsidRPr="00E47747" w:rsidRDefault="00E47747" w:rsidP="00E47747">
            <w:pPr>
              <w:contextualSpacing/>
              <w:jc w:val="center"/>
              <w:rPr>
                <w:b/>
              </w:rPr>
            </w:pPr>
            <w:r w:rsidRPr="00E47747">
              <w:rPr>
                <w:b/>
              </w:rPr>
              <w:t>Building</w:t>
            </w:r>
          </w:p>
        </w:tc>
        <w:tc>
          <w:tcPr>
            <w:tcW w:w="1530" w:type="dxa"/>
            <w:shd w:val="clear" w:color="auto" w:fill="BFBFBF" w:themeFill="background1" w:themeFillShade="BF"/>
          </w:tcPr>
          <w:p w14:paraId="591040D5" w14:textId="77777777" w:rsidR="00E47747" w:rsidRPr="00E47747" w:rsidRDefault="00E47747" w:rsidP="00E47747">
            <w:pPr>
              <w:contextualSpacing/>
              <w:jc w:val="center"/>
              <w:rPr>
                <w:b/>
              </w:rPr>
            </w:pPr>
            <w:r w:rsidRPr="00E47747">
              <w:rPr>
                <w:b/>
              </w:rPr>
              <w:t>Program Administration</w:t>
            </w:r>
          </w:p>
        </w:tc>
        <w:tc>
          <w:tcPr>
            <w:tcW w:w="1440" w:type="dxa"/>
            <w:shd w:val="clear" w:color="auto" w:fill="BFBFBF" w:themeFill="background1" w:themeFillShade="BF"/>
          </w:tcPr>
          <w:p w14:paraId="591040D6" w14:textId="77777777" w:rsidR="00E47747" w:rsidRPr="00E47747" w:rsidRDefault="00E47747" w:rsidP="00E47747">
            <w:pPr>
              <w:contextualSpacing/>
              <w:jc w:val="center"/>
              <w:rPr>
                <w:b/>
              </w:rPr>
            </w:pPr>
            <w:r w:rsidRPr="00E47747">
              <w:rPr>
                <w:b/>
              </w:rPr>
              <w:t>Equipment</w:t>
            </w:r>
          </w:p>
        </w:tc>
        <w:tc>
          <w:tcPr>
            <w:tcW w:w="1710" w:type="dxa"/>
            <w:shd w:val="clear" w:color="auto" w:fill="BFBFBF" w:themeFill="background1" w:themeFillShade="BF"/>
          </w:tcPr>
          <w:p w14:paraId="591040D7" w14:textId="77777777" w:rsidR="00E47747" w:rsidRPr="00E47747" w:rsidRDefault="00E47747" w:rsidP="00E47747">
            <w:pPr>
              <w:contextualSpacing/>
              <w:jc w:val="center"/>
              <w:rPr>
                <w:b/>
              </w:rPr>
            </w:pPr>
            <w:r w:rsidRPr="00E47747">
              <w:rPr>
                <w:b/>
              </w:rPr>
              <w:t>Services</w:t>
            </w:r>
          </w:p>
        </w:tc>
        <w:tc>
          <w:tcPr>
            <w:tcW w:w="1800" w:type="dxa"/>
            <w:shd w:val="clear" w:color="auto" w:fill="BFBFBF" w:themeFill="background1" w:themeFillShade="BF"/>
          </w:tcPr>
          <w:p w14:paraId="591040D8" w14:textId="77777777" w:rsidR="00E47747" w:rsidRPr="00E47747" w:rsidRDefault="00E47747" w:rsidP="00E47747">
            <w:pPr>
              <w:contextualSpacing/>
              <w:jc w:val="center"/>
              <w:rPr>
                <w:b/>
              </w:rPr>
            </w:pPr>
            <w:r w:rsidRPr="00E47747">
              <w:rPr>
                <w:b/>
              </w:rPr>
              <w:t>Volunteer Time</w:t>
            </w:r>
          </w:p>
        </w:tc>
      </w:tr>
      <w:tr w:rsidR="00E47747" w14:paraId="591040E0" w14:textId="77777777" w:rsidTr="0041213A">
        <w:trPr>
          <w:trHeight w:val="1088"/>
        </w:trPr>
        <w:tc>
          <w:tcPr>
            <w:tcW w:w="1368" w:type="dxa"/>
          </w:tcPr>
          <w:p w14:paraId="591040DA" w14:textId="50A2DC2C" w:rsidR="00E47747" w:rsidRDefault="0041213A" w:rsidP="0041213A">
            <w:pPr>
              <w:contextualSpacing/>
              <w:jc w:val="center"/>
            </w:pPr>
            <w:r>
              <w:t xml:space="preserve">Private Donations </w:t>
            </w:r>
          </w:p>
        </w:tc>
        <w:tc>
          <w:tcPr>
            <w:tcW w:w="1440" w:type="dxa"/>
          </w:tcPr>
          <w:p w14:paraId="591040DB" w14:textId="77777777" w:rsidR="00E47747" w:rsidRDefault="00E47747" w:rsidP="00E47747">
            <w:pPr>
              <w:contextualSpacing/>
              <w:jc w:val="center"/>
            </w:pPr>
            <w:r>
              <w:t>Office Space</w:t>
            </w:r>
          </w:p>
        </w:tc>
        <w:tc>
          <w:tcPr>
            <w:tcW w:w="1530" w:type="dxa"/>
          </w:tcPr>
          <w:p w14:paraId="591040DC" w14:textId="77777777" w:rsidR="00E47747" w:rsidRDefault="00E47747" w:rsidP="00E47747">
            <w:pPr>
              <w:contextualSpacing/>
              <w:jc w:val="center"/>
            </w:pPr>
            <w:r>
              <w:t>Maintenance &amp; Repairs</w:t>
            </w:r>
          </w:p>
        </w:tc>
        <w:tc>
          <w:tcPr>
            <w:tcW w:w="1440" w:type="dxa"/>
          </w:tcPr>
          <w:p w14:paraId="591040DD" w14:textId="77777777" w:rsidR="00E47747" w:rsidRDefault="00E47747" w:rsidP="00E47747">
            <w:pPr>
              <w:contextualSpacing/>
              <w:jc w:val="center"/>
            </w:pPr>
            <w:r>
              <w:t>Computer Supplies</w:t>
            </w:r>
          </w:p>
        </w:tc>
        <w:tc>
          <w:tcPr>
            <w:tcW w:w="1710" w:type="dxa"/>
          </w:tcPr>
          <w:p w14:paraId="591040DE" w14:textId="77777777" w:rsidR="00E47747" w:rsidRDefault="00E47747" w:rsidP="00E47747">
            <w:pPr>
              <w:contextualSpacing/>
              <w:jc w:val="center"/>
            </w:pPr>
            <w:r>
              <w:t>Case Management</w:t>
            </w:r>
          </w:p>
        </w:tc>
        <w:tc>
          <w:tcPr>
            <w:tcW w:w="1800" w:type="dxa"/>
          </w:tcPr>
          <w:p w14:paraId="591040DF" w14:textId="77777777" w:rsidR="00E47747" w:rsidRDefault="00E47747" w:rsidP="00E47747">
            <w:pPr>
              <w:contextualSpacing/>
              <w:jc w:val="center"/>
            </w:pPr>
            <w:r>
              <w:t>Volunteers that assist the program: administration, meal prep more…</w:t>
            </w:r>
          </w:p>
        </w:tc>
      </w:tr>
      <w:tr w:rsidR="00E47747" w14:paraId="591040E7" w14:textId="77777777" w:rsidTr="0041213A">
        <w:tc>
          <w:tcPr>
            <w:tcW w:w="1368" w:type="dxa"/>
          </w:tcPr>
          <w:p w14:paraId="591040E1" w14:textId="77777777" w:rsidR="00E47747" w:rsidRDefault="00E47747" w:rsidP="00E47747">
            <w:pPr>
              <w:contextualSpacing/>
              <w:jc w:val="center"/>
            </w:pPr>
            <w:r>
              <w:t>Utilities</w:t>
            </w:r>
          </w:p>
        </w:tc>
        <w:tc>
          <w:tcPr>
            <w:tcW w:w="1440" w:type="dxa"/>
          </w:tcPr>
          <w:p w14:paraId="591040E2" w14:textId="77777777" w:rsidR="00E47747" w:rsidRDefault="00E47747" w:rsidP="00E47747">
            <w:pPr>
              <w:contextualSpacing/>
              <w:jc w:val="center"/>
            </w:pPr>
            <w:r>
              <w:t>Acquisition, rehab or new construction</w:t>
            </w:r>
          </w:p>
        </w:tc>
        <w:tc>
          <w:tcPr>
            <w:tcW w:w="1530" w:type="dxa"/>
          </w:tcPr>
          <w:p w14:paraId="591040E3" w14:textId="77777777" w:rsidR="00E47747" w:rsidRDefault="00E47747" w:rsidP="00E47747">
            <w:pPr>
              <w:contextualSpacing/>
              <w:jc w:val="center"/>
            </w:pPr>
            <w:r>
              <w:t>Insurance</w:t>
            </w:r>
          </w:p>
        </w:tc>
        <w:tc>
          <w:tcPr>
            <w:tcW w:w="1440" w:type="dxa"/>
          </w:tcPr>
          <w:p w14:paraId="591040E4" w14:textId="77777777" w:rsidR="00E47747" w:rsidRDefault="00E47747" w:rsidP="00E47747">
            <w:pPr>
              <w:contextualSpacing/>
              <w:jc w:val="center"/>
            </w:pPr>
            <w:r>
              <w:t>Office Supplies</w:t>
            </w:r>
          </w:p>
        </w:tc>
        <w:tc>
          <w:tcPr>
            <w:tcW w:w="1710" w:type="dxa"/>
          </w:tcPr>
          <w:p w14:paraId="591040E5" w14:textId="77777777" w:rsidR="00E47747" w:rsidRDefault="00E47747" w:rsidP="00E47747">
            <w:pPr>
              <w:contextualSpacing/>
              <w:jc w:val="center"/>
            </w:pPr>
            <w:r>
              <w:t>Addiction Treatment</w:t>
            </w:r>
          </w:p>
        </w:tc>
        <w:tc>
          <w:tcPr>
            <w:tcW w:w="1800" w:type="dxa"/>
          </w:tcPr>
          <w:p w14:paraId="591040E6" w14:textId="77777777" w:rsidR="00E47747" w:rsidRDefault="00E47747" w:rsidP="00E47747">
            <w:pPr>
              <w:contextualSpacing/>
              <w:jc w:val="center"/>
            </w:pPr>
          </w:p>
        </w:tc>
      </w:tr>
      <w:tr w:rsidR="00E47747" w14:paraId="591040EE" w14:textId="77777777" w:rsidTr="0041213A">
        <w:tc>
          <w:tcPr>
            <w:tcW w:w="1368" w:type="dxa"/>
          </w:tcPr>
          <w:p w14:paraId="591040E8" w14:textId="12ED17BB" w:rsidR="00E47747" w:rsidRDefault="0041213A" w:rsidP="00E47747">
            <w:pPr>
              <w:contextualSpacing/>
              <w:jc w:val="center"/>
            </w:pPr>
            <w:r>
              <w:t xml:space="preserve">Government Contract </w:t>
            </w:r>
          </w:p>
        </w:tc>
        <w:tc>
          <w:tcPr>
            <w:tcW w:w="1440" w:type="dxa"/>
          </w:tcPr>
          <w:p w14:paraId="591040E9" w14:textId="77777777" w:rsidR="00E47747" w:rsidRDefault="00E47747" w:rsidP="00E47747">
            <w:pPr>
              <w:contextualSpacing/>
              <w:jc w:val="center"/>
            </w:pPr>
          </w:p>
        </w:tc>
        <w:tc>
          <w:tcPr>
            <w:tcW w:w="1530" w:type="dxa"/>
          </w:tcPr>
          <w:p w14:paraId="591040EA" w14:textId="77777777" w:rsidR="00E47747" w:rsidRDefault="00E47747" w:rsidP="00E47747">
            <w:pPr>
              <w:contextualSpacing/>
              <w:jc w:val="center"/>
            </w:pPr>
            <w:r>
              <w:t>Furnishings</w:t>
            </w:r>
          </w:p>
        </w:tc>
        <w:tc>
          <w:tcPr>
            <w:tcW w:w="1440" w:type="dxa"/>
          </w:tcPr>
          <w:p w14:paraId="591040EB" w14:textId="77777777" w:rsidR="00E47747" w:rsidRDefault="00E47747" w:rsidP="00E47747">
            <w:pPr>
              <w:contextualSpacing/>
              <w:jc w:val="center"/>
            </w:pPr>
            <w:r>
              <w:t>Cell Phones</w:t>
            </w:r>
          </w:p>
        </w:tc>
        <w:tc>
          <w:tcPr>
            <w:tcW w:w="1710" w:type="dxa"/>
          </w:tcPr>
          <w:p w14:paraId="591040EC" w14:textId="77777777" w:rsidR="00E47747" w:rsidRDefault="00E47747" w:rsidP="00E47747">
            <w:pPr>
              <w:contextualSpacing/>
              <w:jc w:val="center"/>
            </w:pPr>
            <w:r>
              <w:t>Child Care</w:t>
            </w:r>
          </w:p>
        </w:tc>
        <w:tc>
          <w:tcPr>
            <w:tcW w:w="1800" w:type="dxa"/>
          </w:tcPr>
          <w:p w14:paraId="591040ED" w14:textId="77777777" w:rsidR="00E47747" w:rsidRDefault="00E47747" w:rsidP="00E47747">
            <w:pPr>
              <w:contextualSpacing/>
              <w:jc w:val="center"/>
            </w:pPr>
          </w:p>
        </w:tc>
      </w:tr>
      <w:tr w:rsidR="00E47747" w14:paraId="591040F5" w14:textId="77777777" w:rsidTr="0041213A">
        <w:tc>
          <w:tcPr>
            <w:tcW w:w="1368" w:type="dxa"/>
          </w:tcPr>
          <w:p w14:paraId="591040EF" w14:textId="4680D4D6" w:rsidR="00E47747" w:rsidRDefault="00E47747" w:rsidP="00E47747">
            <w:pPr>
              <w:contextualSpacing/>
              <w:jc w:val="center"/>
            </w:pPr>
          </w:p>
        </w:tc>
        <w:tc>
          <w:tcPr>
            <w:tcW w:w="1440" w:type="dxa"/>
          </w:tcPr>
          <w:p w14:paraId="591040F0" w14:textId="77777777" w:rsidR="00E47747" w:rsidRDefault="00E47747" w:rsidP="00E47747">
            <w:pPr>
              <w:contextualSpacing/>
              <w:jc w:val="center"/>
            </w:pPr>
          </w:p>
        </w:tc>
        <w:tc>
          <w:tcPr>
            <w:tcW w:w="1530" w:type="dxa"/>
          </w:tcPr>
          <w:p w14:paraId="591040F1" w14:textId="77777777" w:rsidR="00E47747" w:rsidRDefault="00E47747" w:rsidP="00E47747">
            <w:pPr>
              <w:contextualSpacing/>
              <w:jc w:val="center"/>
            </w:pPr>
            <w:r>
              <w:t>Program relocation fees</w:t>
            </w:r>
          </w:p>
        </w:tc>
        <w:tc>
          <w:tcPr>
            <w:tcW w:w="1440" w:type="dxa"/>
          </w:tcPr>
          <w:p w14:paraId="591040F2" w14:textId="77777777" w:rsidR="00E47747" w:rsidRDefault="00E47747" w:rsidP="00E47747">
            <w:pPr>
              <w:contextualSpacing/>
              <w:jc w:val="center"/>
            </w:pPr>
            <w:r>
              <w:t>Internet Connections</w:t>
            </w:r>
          </w:p>
        </w:tc>
        <w:tc>
          <w:tcPr>
            <w:tcW w:w="1710" w:type="dxa"/>
          </w:tcPr>
          <w:p w14:paraId="591040F3" w14:textId="77777777" w:rsidR="00E47747" w:rsidRDefault="00E47747" w:rsidP="00E47747">
            <w:pPr>
              <w:contextualSpacing/>
              <w:jc w:val="center"/>
            </w:pPr>
            <w:r>
              <w:t>Medical/Dental/Mental Health Care</w:t>
            </w:r>
          </w:p>
        </w:tc>
        <w:tc>
          <w:tcPr>
            <w:tcW w:w="1800" w:type="dxa"/>
          </w:tcPr>
          <w:p w14:paraId="591040F4" w14:textId="77777777" w:rsidR="00E47747" w:rsidRDefault="00E47747" w:rsidP="00E47747">
            <w:pPr>
              <w:contextualSpacing/>
              <w:jc w:val="center"/>
            </w:pPr>
          </w:p>
        </w:tc>
      </w:tr>
      <w:tr w:rsidR="00E47747" w14:paraId="591040FC" w14:textId="77777777" w:rsidTr="0041213A">
        <w:trPr>
          <w:trHeight w:val="512"/>
        </w:trPr>
        <w:tc>
          <w:tcPr>
            <w:tcW w:w="1368" w:type="dxa"/>
          </w:tcPr>
          <w:p w14:paraId="591040F6" w14:textId="77777777" w:rsidR="00E47747" w:rsidRDefault="00E47747" w:rsidP="00E47747">
            <w:pPr>
              <w:contextualSpacing/>
              <w:jc w:val="center"/>
            </w:pPr>
          </w:p>
        </w:tc>
        <w:tc>
          <w:tcPr>
            <w:tcW w:w="1440" w:type="dxa"/>
          </w:tcPr>
          <w:p w14:paraId="591040F7" w14:textId="77777777" w:rsidR="00E47747" w:rsidRDefault="00E47747" w:rsidP="00E47747">
            <w:pPr>
              <w:contextualSpacing/>
              <w:jc w:val="center"/>
            </w:pPr>
          </w:p>
        </w:tc>
        <w:tc>
          <w:tcPr>
            <w:tcW w:w="1530" w:type="dxa"/>
          </w:tcPr>
          <w:p w14:paraId="591040F8" w14:textId="77777777" w:rsidR="00E47747" w:rsidRDefault="00E47747" w:rsidP="00E47747">
            <w:pPr>
              <w:contextualSpacing/>
              <w:jc w:val="center"/>
            </w:pPr>
            <w:r>
              <w:t>Food</w:t>
            </w:r>
          </w:p>
        </w:tc>
        <w:tc>
          <w:tcPr>
            <w:tcW w:w="1440" w:type="dxa"/>
          </w:tcPr>
          <w:p w14:paraId="591040F9" w14:textId="77777777" w:rsidR="00E47747" w:rsidRDefault="00E47747" w:rsidP="00E47747">
            <w:pPr>
              <w:contextualSpacing/>
              <w:jc w:val="center"/>
            </w:pPr>
          </w:p>
        </w:tc>
        <w:tc>
          <w:tcPr>
            <w:tcW w:w="1710" w:type="dxa"/>
          </w:tcPr>
          <w:p w14:paraId="591040FA" w14:textId="77777777" w:rsidR="00E47747" w:rsidRDefault="00E47747" w:rsidP="00E47747">
            <w:pPr>
              <w:contextualSpacing/>
              <w:jc w:val="center"/>
            </w:pPr>
            <w:r>
              <w:t>Legal Services</w:t>
            </w:r>
          </w:p>
        </w:tc>
        <w:tc>
          <w:tcPr>
            <w:tcW w:w="1800" w:type="dxa"/>
          </w:tcPr>
          <w:p w14:paraId="591040FB" w14:textId="77777777" w:rsidR="00E47747" w:rsidRDefault="00E47747" w:rsidP="00E47747">
            <w:pPr>
              <w:contextualSpacing/>
              <w:jc w:val="center"/>
            </w:pPr>
          </w:p>
        </w:tc>
      </w:tr>
    </w:tbl>
    <w:p w14:paraId="4D4CFFB4" w14:textId="5CDBE9B8" w:rsidR="00E47747" w:rsidRPr="00602F6E" w:rsidRDefault="00E47747" w:rsidP="00602F6E">
      <w:pPr>
        <w:contextualSpacing/>
      </w:pPr>
      <w:bookmarkStart w:id="0" w:name="_GoBack"/>
      <w:bookmarkEnd w:id="0"/>
    </w:p>
    <w:sectPr w:rsidR="00E47747" w:rsidRPr="00602F6E" w:rsidSect="0023154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04106" w14:textId="77777777" w:rsidR="00E47747" w:rsidRDefault="00E47747" w:rsidP="00E47747">
      <w:pPr>
        <w:spacing w:after="0" w:line="240" w:lineRule="auto"/>
      </w:pPr>
      <w:r>
        <w:separator/>
      </w:r>
    </w:p>
  </w:endnote>
  <w:endnote w:type="continuationSeparator" w:id="0">
    <w:p w14:paraId="59104107" w14:textId="77777777" w:rsidR="00E47747" w:rsidRDefault="00E47747" w:rsidP="00E4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04104" w14:textId="77777777" w:rsidR="00E47747" w:rsidRDefault="00E47747" w:rsidP="00E47747">
      <w:pPr>
        <w:spacing w:after="0" w:line="240" w:lineRule="auto"/>
      </w:pPr>
      <w:r>
        <w:separator/>
      </w:r>
    </w:p>
  </w:footnote>
  <w:footnote w:type="continuationSeparator" w:id="0">
    <w:p w14:paraId="59104105" w14:textId="77777777" w:rsidR="00E47747" w:rsidRDefault="00E47747" w:rsidP="00E47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74"/>
      <w:gridCol w:w="1486"/>
    </w:tblGrid>
    <w:tr w:rsidR="00E47747" w14:paraId="5910410A" w14:textId="77777777">
      <w:trPr>
        <w:trHeight w:val="288"/>
      </w:trPr>
      <w:sdt>
        <w:sdtPr>
          <w:rPr>
            <w:rFonts w:asciiTheme="majorHAnsi" w:eastAsiaTheme="majorEastAsia" w:hAnsiTheme="majorHAnsi" w:cstheme="majorBidi"/>
            <w:sz w:val="36"/>
            <w:szCs w:val="36"/>
          </w:rPr>
          <w:alias w:val="Title"/>
          <w:id w:val="77761602"/>
          <w:placeholder>
            <w:docPart w:val="BAD8732F20A44252B44C65AFEDA8566D"/>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59104108" w14:textId="77777777" w:rsidR="00E47747" w:rsidRDefault="00E47747" w:rsidP="00E47747">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Match and Leverage</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A244AACE349C4650A9F2DC17A68A7ADA"/>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14:paraId="59104109" w14:textId="08CBB9B9" w:rsidR="00E47747" w:rsidRDefault="00E47747" w:rsidP="00FD05D8">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FY201</w:t>
              </w:r>
              <w:r w:rsidR="00FD05D8">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5</w:t>
              </w:r>
            </w:p>
          </w:tc>
        </w:sdtContent>
      </w:sdt>
    </w:tr>
  </w:tbl>
  <w:p w14:paraId="5910410B" w14:textId="77777777" w:rsidR="00E47747" w:rsidRDefault="00E477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23F0"/>
    <w:multiLevelType w:val="multilevel"/>
    <w:tmpl w:val="C312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5C"/>
    <w:rsid w:val="00231545"/>
    <w:rsid w:val="00400AAC"/>
    <w:rsid w:val="0041213A"/>
    <w:rsid w:val="00566365"/>
    <w:rsid w:val="00602F6E"/>
    <w:rsid w:val="00A06A41"/>
    <w:rsid w:val="00B305E5"/>
    <w:rsid w:val="00CA665C"/>
    <w:rsid w:val="00DA3542"/>
    <w:rsid w:val="00E47747"/>
    <w:rsid w:val="00F06725"/>
    <w:rsid w:val="00F53153"/>
    <w:rsid w:val="00FA41E3"/>
    <w:rsid w:val="00FD05D8"/>
    <w:rsid w:val="00FF295C"/>
    <w:rsid w:val="00FF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40CD"/>
  <w15:docId w15:val="{4CFE9534-6BBA-48E4-8393-9CF804EE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AAC"/>
  </w:style>
  <w:style w:type="paragraph" w:styleId="Heading2">
    <w:name w:val="heading 2"/>
    <w:basedOn w:val="Normal"/>
    <w:next w:val="Normal"/>
    <w:link w:val="Heading2Char"/>
    <w:uiPriority w:val="9"/>
    <w:semiHidden/>
    <w:unhideWhenUsed/>
    <w:qFormat/>
    <w:rsid w:val="00FD05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7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7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747"/>
  </w:style>
  <w:style w:type="paragraph" w:styleId="Footer">
    <w:name w:val="footer"/>
    <w:basedOn w:val="Normal"/>
    <w:link w:val="FooterChar"/>
    <w:uiPriority w:val="99"/>
    <w:unhideWhenUsed/>
    <w:rsid w:val="00E47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747"/>
  </w:style>
  <w:style w:type="paragraph" w:styleId="BalloonText">
    <w:name w:val="Balloon Text"/>
    <w:basedOn w:val="Normal"/>
    <w:link w:val="BalloonTextChar"/>
    <w:uiPriority w:val="99"/>
    <w:semiHidden/>
    <w:unhideWhenUsed/>
    <w:rsid w:val="00E47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747"/>
    <w:rPr>
      <w:rFonts w:ascii="Tahoma" w:hAnsi="Tahoma" w:cs="Tahoma"/>
      <w:sz w:val="16"/>
      <w:szCs w:val="16"/>
    </w:rPr>
  </w:style>
  <w:style w:type="character" w:customStyle="1" w:styleId="Heading2Char">
    <w:name w:val="Heading 2 Char"/>
    <w:basedOn w:val="DefaultParagraphFont"/>
    <w:link w:val="Heading2"/>
    <w:uiPriority w:val="9"/>
    <w:semiHidden/>
    <w:rsid w:val="00FD05D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FD05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7537">
      <w:bodyDiv w:val="1"/>
      <w:marLeft w:val="0"/>
      <w:marRight w:val="0"/>
      <w:marTop w:val="0"/>
      <w:marBottom w:val="0"/>
      <w:divBdr>
        <w:top w:val="none" w:sz="0" w:space="0" w:color="auto"/>
        <w:left w:val="none" w:sz="0" w:space="0" w:color="auto"/>
        <w:bottom w:val="none" w:sz="0" w:space="0" w:color="auto"/>
        <w:right w:val="none" w:sz="0" w:space="0" w:color="auto"/>
      </w:divBdr>
    </w:div>
    <w:div w:id="311100853">
      <w:bodyDiv w:val="1"/>
      <w:marLeft w:val="0"/>
      <w:marRight w:val="0"/>
      <w:marTop w:val="0"/>
      <w:marBottom w:val="0"/>
      <w:divBdr>
        <w:top w:val="none" w:sz="0" w:space="0" w:color="auto"/>
        <w:left w:val="none" w:sz="0" w:space="0" w:color="auto"/>
        <w:bottom w:val="none" w:sz="0" w:space="0" w:color="auto"/>
        <w:right w:val="none" w:sz="0" w:space="0" w:color="auto"/>
      </w:divBdr>
    </w:div>
    <w:div w:id="838694981">
      <w:bodyDiv w:val="1"/>
      <w:marLeft w:val="0"/>
      <w:marRight w:val="0"/>
      <w:marTop w:val="0"/>
      <w:marBottom w:val="0"/>
      <w:divBdr>
        <w:top w:val="none" w:sz="0" w:space="0" w:color="auto"/>
        <w:left w:val="none" w:sz="0" w:space="0" w:color="auto"/>
        <w:bottom w:val="none" w:sz="0" w:space="0" w:color="auto"/>
        <w:right w:val="none" w:sz="0" w:space="0" w:color="auto"/>
      </w:divBdr>
    </w:div>
    <w:div w:id="1445462452">
      <w:bodyDiv w:val="1"/>
      <w:marLeft w:val="0"/>
      <w:marRight w:val="0"/>
      <w:marTop w:val="0"/>
      <w:marBottom w:val="0"/>
      <w:divBdr>
        <w:top w:val="none" w:sz="0" w:space="0" w:color="auto"/>
        <w:left w:val="none" w:sz="0" w:space="0" w:color="auto"/>
        <w:bottom w:val="none" w:sz="0" w:space="0" w:color="auto"/>
        <w:right w:val="none" w:sz="0" w:space="0" w:color="auto"/>
      </w:divBdr>
    </w:div>
    <w:div w:id="1764229545">
      <w:bodyDiv w:val="1"/>
      <w:marLeft w:val="0"/>
      <w:marRight w:val="0"/>
      <w:marTop w:val="0"/>
      <w:marBottom w:val="0"/>
      <w:divBdr>
        <w:top w:val="none" w:sz="0" w:space="0" w:color="auto"/>
        <w:left w:val="none" w:sz="0" w:space="0" w:color="auto"/>
        <w:bottom w:val="none" w:sz="0" w:space="0" w:color="auto"/>
        <w:right w:val="none" w:sz="0" w:space="0" w:color="auto"/>
      </w:divBdr>
    </w:div>
    <w:div w:id="1885407903">
      <w:bodyDiv w:val="1"/>
      <w:marLeft w:val="0"/>
      <w:marRight w:val="0"/>
      <w:marTop w:val="0"/>
      <w:marBottom w:val="0"/>
      <w:divBdr>
        <w:top w:val="none" w:sz="0" w:space="0" w:color="auto"/>
        <w:left w:val="none" w:sz="0" w:space="0" w:color="auto"/>
        <w:bottom w:val="none" w:sz="0" w:space="0" w:color="auto"/>
        <w:right w:val="none" w:sz="0" w:space="0" w:color="auto"/>
      </w:divBdr>
    </w:div>
    <w:div w:id="194268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D8732F20A44252B44C65AFEDA8566D"/>
        <w:category>
          <w:name w:val="General"/>
          <w:gallery w:val="placeholder"/>
        </w:category>
        <w:types>
          <w:type w:val="bbPlcHdr"/>
        </w:types>
        <w:behaviors>
          <w:behavior w:val="content"/>
        </w:behaviors>
        <w:guid w:val="{FFCBDFB1-3097-4B4B-A394-D2F221FA5A78}"/>
      </w:docPartPr>
      <w:docPartBody>
        <w:p w:rsidR="00432747" w:rsidRDefault="00441F02" w:rsidP="00441F02">
          <w:pPr>
            <w:pStyle w:val="BAD8732F20A44252B44C65AFEDA8566D"/>
          </w:pPr>
          <w:r>
            <w:rPr>
              <w:rFonts w:asciiTheme="majorHAnsi" w:eastAsiaTheme="majorEastAsia" w:hAnsiTheme="majorHAnsi" w:cstheme="majorBidi"/>
              <w:sz w:val="36"/>
              <w:szCs w:val="36"/>
            </w:rPr>
            <w:t>[Type the document title]</w:t>
          </w:r>
        </w:p>
      </w:docPartBody>
    </w:docPart>
    <w:docPart>
      <w:docPartPr>
        <w:name w:val="A244AACE349C4650A9F2DC17A68A7ADA"/>
        <w:category>
          <w:name w:val="General"/>
          <w:gallery w:val="placeholder"/>
        </w:category>
        <w:types>
          <w:type w:val="bbPlcHdr"/>
        </w:types>
        <w:behaviors>
          <w:behavior w:val="content"/>
        </w:behaviors>
        <w:guid w:val="{BE9EEC95-59DE-4F7A-BAE9-16B22414BFBE}"/>
      </w:docPartPr>
      <w:docPartBody>
        <w:p w:rsidR="00432747" w:rsidRDefault="00441F02" w:rsidP="00441F02">
          <w:pPr>
            <w:pStyle w:val="A244AACE349C4650A9F2DC17A68A7ADA"/>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F02"/>
    <w:rsid w:val="00432747"/>
    <w:rsid w:val="0044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D8732F20A44252B44C65AFEDA8566D">
    <w:name w:val="BAD8732F20A44252B44C65AFEDA8566D"/>
    <w:rsid w:val="00441F02"/>
  </w:style>
  <w:style w:type="paragraph" w:customStyle="1" w:styleId="A244AACE349C4650A9F2DC17A68A7ADA">
    <w:name w:val="A244AACE349C4650A9F2DC17A68A7ADA"/>
    <w:rsid w:val="00441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FY2015</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d321172-628b-4bc3-b254-6002e76b8fe9">7SYFENAVC2T6-1-3214</_dlc_DocId>
    <_dlc_DocIdUrl xmlns="ed321172-628b-4bc3-b254-6002e76b8fe9">
      <Url>https://caresny.sharepoint.com/sites/coc/_layouts/15/DocIdRedir.aspx?ID=7SYFENAVC2T6-1-3214</Url>
      <Description>7SYFENAVC2T6-1-3214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A71FA9B9D2704FA48D009A046E1A73" ma:contentTypeVersion="2" ma:contentTypeDescription="Create a new document." ma:contentTypeScope="" ma:versionID="6b70f1eec753d0fe97384585e9016cf5">
  <xsd:schema xmlns:xsd="http://www.w3.org/2001/XMLSchema" xmlns:xs="http://www.w3.org/2001/XMLSchema" xmlns:p="http://schemas.microsoft.com/office/2006/metadata/properties" xmlns:ns2="ed321172-628b-4bc3-b254-6002e76b8fe9" targetNamespace="http://schemas.microsoft.com/office/2006/metadata/properties" ma:root="true" ma:fieldsID="80de6961671d9729ab1871457eb6f6d6" ns2:_="">
    <xsd:import namespace="ed321172-628b-4bc3-b254-6002e76b8fe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21172-628b-4bc3-b254-6002e76b8f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A4458C-C5AC-4966-BFCB-4FBCAA651644}">
  <ds:schemaRefs>
    <ds:schemaRef ds:uri="http://schemas.microsoft.com/sharepoint/events"/>
  </ds:schemaRefs>
</ds:datastoreItem>
</file>

<file path=customXml/itemProps3.xml><?xml version="1.0" encoding="utf-8"?>
<ds:datastoreItem xmlns:ds="http://schemas.openxmlformats.org/officeDocument/2006/customXml" ds:itemID="{7AEC0064-C942-4769-9EB7-54BED7AA3DE9}">
  <ds:schemaRefs>
    <ds:schemaRef ds:uri="http://www.w3.org/XML/1998/namespace"/>
    <ds:schemaRef ds:uri="http://purl.org/dc/elements/1.1/"/>
    <ds:schemaRef ds:uri="http://schemas.microsoft.com/office/2006/documentManagement/types"/>
    <ds:schemaRef ds:uri="http://schemas.microsoft.com/office/infopath/2007/PartnerControls"/>
    <ds:schemaRef ds:uri="ed321172-628b-4bc3-b254-6002e76b8fe9"/>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248BAE3-1AAE-42D8-B733-3A9525579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21172-628b-4bc3-b254-6002e76b8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CDB7EB-0F10-4BDA-AE5B-6A37DD23D08F}">
  <ds:schemaRefs>
    <ds:schemaRef ds:uri="http://schemas.microsoft.com/sharepoint/v3/contenttype/forms"/>
  </ds:schemaRefs>
</ds:datastoreItem>
</file>

<file path=customXml/itemProps6.xml><?xml version="1.0" encoding="utf-8"?>
<ds:datastoreItem xmlns:ds="http://schemas.openxmlformats.org/officeDocument/2006/customXml" ds:itemID="{7EE7E160-3C68-4DD1-9C39-58FE0D3C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Match and Leverage</vt:lpstr>
    </vt:vector>
  </TitlesOfParts>
  <Company>Hewlett-Packard Company</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Match and Leverage</dc:title>
  <dc:creator>Tess</dc:creator>
  <cp:lastModifiedBy>Tess Cleary</cp:lastModifiedBy>
  <cp:revision>3</cp:revision>
  <cp:lastPrinted>2013-08-27T15:16:00Z</cp:lastPrinted>
  <dcterms:created xsi:type="dcterms:W3CDTF">2015-09-30T19:51:00Z</dcterms:created>
  <dcterms:modified xsi:type="dcterms:W3CDTF">2015-09-30T20:05:00Z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1bac2cea-1633-4740-b573-cd4fa6737143</vt:lpwstr>
  </property>
  <property fmtid="{D5CDD505-2E9C-101B-9397-08002B2CF9AE}" pid="3" name="ContentTypeId">
    <vt:lpwstr>0x01010053A71FA9B9D2704FA48D009A046E1A73</vt:lpwstr>
  </property>
</Properties>
</file>