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D604A" w14:textId="77777777" w:rsidR="00E377A2" w:rsidRDefault="00F6642D">
      <w:pPr>
        <w:pStyle w:val="BodyText"/>
        <w:ind w:left="1547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4F852E2F" wp14:editId="4349AD7F">
                <wp:extent cx="5170805" cy="302260"/>
                <wp:effectExtent l="4445" t="0" r="0" b="254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805" cy="302260"/>
                        </a:xfrm>
                        <a:prstGeom prst="rect">
                          <a:avLst/>
                        </a:prstGeom>
                        <a:solidFill>
                          <a:srgbClr val="8063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37131" w14:textId="77777777" w:rsidR="00E377A2" w:rsidRDefault="0062653B">
                            <w:pPr>
                              <w:spacing w:before="41"/>
                              <w:ind w:left="10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POLICY AND PROCEDURE REGARDING LETTERS OF SUPPORT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07.1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" fillcolor="#8063a1" stroked="f">
                <v:textbox inset="0,0,0,0">
                  <w:txbxContent>
                    <w:p w:rsidR="00E377A2" w:rsidRDefault="0062653B">
                      <w:pPr>
                        <w:spacing w:before="41"/>
                        <w:ind w:left="108"/>
                        <w:rPr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POLICY AND PROCEDURE REGARDING LETTERS OF SUPPORT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F3E999" w14:textId="77777777" w:rsidR="00E377A2" w:rsidRDefault="00E377A2">
      <w:pPr>
        <w:pStyle w:val="BodyText"/>
        <w:ind w:left="0" w:firstLine="0"/>
        <w:rPr>
          <w:rFonts w:ascii="Times New Roman"/>
          <w:sz w:val="20"/>
        </w:rPr>
      </w:pPr>
    </w:p>
    <w:p w14:paraId="67557004" w14:textId="77777777" w:rsidR="00E377A2" w:rsidRDefault="00E377A2">
      <w:pPr>
        <w:pStyle w:val="BodyText"/>
        <w:spacing w:before="10"/>
        <w:ind w:left="0" w:firstLine="0"/>
        <w:rPr>
          <w:rFonts w:ascii="Times New Roman"/>
          <w:sz w:val="19"/>
        </w:rPr>
      </w:pPr>
    </w:p>
    <w:p w14:paraId="53B736B3" w14:textId="77777777" w:rsidR="00E377A2" w:rsidRDefault="00F6642D">
      <w:pPr>
        <w:pStyle w:val="BodyText"/>
        <w:spacing w:before="56"/>
        <w:ind w:left="220" w:right="202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7C91B49A" wp14:editId="7CCA857B">
                <wp:simplePos x="0" y="0"/>
                <wp:positionH relativeFrom="page">
                  <wp:posOffset>845820</wp:posOffset>
                </wp:positionH>
                <wp:positionV relativeFrom="paragraph">
                  <wp:posOffset>-605790</wp:posOffset>
                </wp:positionV>
                <wp:extent cx="911860" cy="302260"/>
                <wp:effectExtent l="0" t="0" r="444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02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034F6" w14:textId="77777777" w:rsidR="00E377A2" w:rsidRDefault="0062653B">
                            <w:pPr>
                              <w:spacing w:line="388" w:lineRule="exact"/>
                              <w:ind w:left="10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ACCH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66.6pt;margin-top:-47.7pt;width:71.8pt;height:23.8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" fillcolor="black" stroked="f">
                <v:textbox inset="0,0,0,0">
                  <w:txbxContent>
                    <w:p w:rsidR="00E377A2" w:rsidRDefault="0062653B">
                      <w:pPr>
                        <w:spacing w:line="388" w:lineRule="exact"/>
                        <w:ind w:left="108"/>
                        <w:rPr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ACCH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653B">
        <w:t xml:space="preserve">The </w:t>
      </w:r>
      <w:r>
        <w:t>P</w:t>
      </w:r>
      <w:r w:rsidR="0062653B">
        <w:t xml:space="preserve">olicy and </w:t>
      </w:r>
      <w:r>
        <w:t>P</w:t>
      </w:r>
      <w:r w:rsidR="0062653B">
        <w:t xml:space="preserve">rocedure for Albany County Coalition on Homelessness </w:t>
      </w:r>
      <w:r w:rsidR="00ED27AE">
        <w:t xml:space="preserve">(ACCH) </w:t>
      </w:r>
      <w:r w:rsidR="00B52A1D">
        <w:t xml:space="preserve">regarding </w:t>
      </w:r>
      <w:r w:rsidR="0062653B">
        <w:t>requests and approval</w:t>
      </w:r>
      <w:r>
        <w:t>s</w:t>
      </w:r>
      <w:r w:rsidR="0062653B">
        <w:t xml:space="preserve"> for </w:t>
      </w:r>
      <w:r>
        <w:t>Le</w:t>
      </w:r>
      <w:r w:rsidR="0062653B">
        <w:t xml:space="preserve">tters of </w:t>
      </w:r>
      <w:r>
        <w:t>S</w:t>
      </w:r>
      <w:r w:rsidR="0062653B">
        <w:t>upport is as follows:</w:t>
      </w:r>
    </w:p>
    <w:p w14:paraId="36BA446C" w14:textId="77777777" w:rsidR="00E377A2" w:rsidRDefault="00E377A2">
      <w:pPr>
        <w:pStyle w:val="BodyText"/>
        <w:spacing w:before="11"/>
        <w:ind w:left="0" w:firstLine="0"/>
        <w:rPr>
          <w:sz w:val="21"/>
        </w:rPr>
      </w:pPr>
    </w:p>
    <w:p w14:paraId="22DFC372" w14:textId="77777777" w:rsidR="00E377A2" w:rsidRDefault="00D269D7">
      <w:pPr>
        <w:pStyle w:val="ListParagraph"/>
        <w:numPr>
          <w:ilvl w:val="0"/>
          <w:numId w:val="1"/>
        </w:numPr>
        <w:tabs>
          <w:tab w:val="left" w:pos="941"/>
        </w:tabs>
      </w:pPr>
      <w:r>
        <w:t>The A</w:t>
      </w:r>
      <w:r w:rsidR="0062653B">
        <w:t xml:space="preserve">gency </w:t>
      </w:r>
      <w:r w:rsidR="00F6642D">
        <w:t xml:space="preserve">must </w:t>
      </w:r>
      <w:r w:rsidR="0049141C">
        <w:t>submit a completed R</w:t>
      </w:r>
      <w:r w:rsidR="0062653B">
        <w:t xml:space="preserve">equest </w:t>
      </w:r>
      <w:r w:rsidR="0049141C">
        <w:t>F</w:t>
      </w:r>
      <w:r w:rsidR="0062653B">
        <w:t>orm and draft letter to</w:t>
      </w:r>
      <w:r w:rsidR="0062653B">
        <w:rPr>
          <w:spacing w:val="-12"/>
        </w:rPr>
        <w:t xml:space="preserve"> </w:t>
      </w:r>
      <w:r w:rsidR="00ED27AE">
        <w:rPr>
          <w:spacing w:val="-12"/>
        </w:rPr>
        <w:t xml:space="preserve">the </w:t>
      </w:r>
      <w:r w:rsidR="0062653B">
        <w:t>CARES</w:t>
      </w:r>
      <w:r w:rsidR="00ED27AE">
        <w:t xml:space="preserve"> Staff Lead, allowing 15 business days for review and return</w:t>
      </w:r>
      <w:r w:rsidR="0062653B">
        <w:t>.</w:t>
      </w:r>
    </w:p>
    <w:p w14:paraId="7D59A894" w14:textId="77777777" w:rsidR="00E377A2" w:rsidRDefault="0062653B">
      <w:pPr>
        <w:pStyle w:val="ListParagraph"/>
        <w:numPr>
          <w:ilvl w:val="0"/>
          <w:numId w:val="1"/>
        </w:numPr>
        <w:tabs>
          <w:tab w:val="left" w:pos="941"/>
        </w:tabs>
        <w:ind w:right="513"/>
      </w:pPr>
      <w:r>
        <w:t xml:space="preserve">The Governance Committee will review the letter and </w:t>
      </w:r>
      <w:r w:rsidR="00F6642D">
        <w:t>determine</w:t>
      </w:r>
      <w:r>
        <w:t xml:space="preserve"> whether</w:t>
      </w:r>
      <w:r>
        <w:rPr>
          <w:spacing w:val="-24"/>
        </w:rPr>
        <w:t xml:space="preserve"> </w:t>
      </w:r>
      <w:r w:rsidR="0049141C">
        <w:t>the CoC will provide the L</w:t>
      </w:r>
      <w:r>
        <w:t xml:space="preserve">etter of </w:t>
      </w:r>
      <w:r w:rsidR="0049141C">
        <w:t>S</w:t>
      </w:r>
      <w:r>
        <w:t>upport by assessing the</w:t>
      </w:r>
      <w:r>
        <w:rPr>
          <w:spacing w:val="-13"/>
        </w:rPr>
        <w:t xml:space="preserve"> </w:t>
      </w:r>
      <w:r>
        <w:t>following:</w:t>
      </w:r>
    </w:p>
    <w:p w14:paraId="73A5307F" w14:textId="77777777" w:rsidR="00CF7CE5" w:rsidRDefault="00CF7CE5" w:rsidP="00B52A1D">
      <w:pPr>
        <w:pStyle w:val="ListParagraph"/>
        <w:numPr>
          <w:ilvl w:val="1"/>
          <w:numId w:val="1"/>
        </w:numPr>
        <w:tabs>
          <w:tab w:val="left" w:pos="1620"/>
        </w:tabs>
        <w:spacing w:before="1"/>
        <w:ind w:left="1620"/>
      </w:pPr>
      <w:r>
        <w:t>The project described aligns with the ACCH Mission</w:t>
      </w:r>
    </w:p>
    <w:p w14:paraId="2342665C" w14:textId="77777777" w:rsidR="00CF7CE5" w:rsidRPr="00B52A1D" w:rsidRDefault="00CF7CE5" w:rsidP="00B52A1D">
      <w:pPr>
        <w:pStyle w:val="ListParagraph"/>
        <w:numPr>
          <w:ilvl w:val="1"/>
          <w:numId w:val="1"/>
        </w:numPr>
        <w:tabs>
          <w:tab w:val="left" w:pos="1620"/>
        </w:tabs>
        <w:spacing w:before="1"/>
        <w:ind w:left="1620"/>
      </w:pPr>
      <w:r>
        <w:t xml:space="preserve">The project described aligns with the </w:t>
      </w:r>
      <w:r>
        <w:rPr>
          <w:i/>
        </w:rPr>
        <w:t>Albany County Strategic Plan to Prevent, Reduce and Combat Homelessness</w:t>
      </w:r>
    </w:p>
    <w:p w14:paraId="455D9264" w14:textId="77777777" w:rsidR="00CF7CE5" w:rsidRDefault="00CF7CE5" w:rsidP="00B52A1D">
      <w:pPr>
        <w:pStyle w:val="ListParagraph"/>
        <w:numPr>
          <w:ilvl w:val="1"/>
          <w:numId w:val="1"/>
        </w:numPr>
        <w:tabs>
          <w:tab w:val="left" w:pos="1620"/>
        </w:tabs>
        <w:spacing w:before="1"/>
        <w:ind w:left="1620"/>
      </w:pPr>
      <w:r>
        <w:t xml:space="preserve">The agency is an “ACCH member in good </w:t>
      </w:r>
      <w:proofErr w:type="gramStart"/>
      <w:r>
        <w:t>standing”*</w:t>
      </w:r>
      <w:proofErr w:type="gramEnd"/>
    </w:p>
    <w:p w14:paraId="31C5DE4C" w14:textId="77777777" w:rsidR="00CF7CE5" w:rsidRDefault="00CF7CE5" w:rsidP="00B52A1D">
      <w:pPr>
        <w:pStyle w:val="ListParagraph"/>
        <w:numPr>
          <w:ilvl w:val="1"/>
          <w:numId w:val="1"/>
        </w:numPr>
        <w:tabs>
          <w:tab w:val="left" w:pos="1620"/>
        </w:tabs>
        <w:spacing w:before="1"/>
        <w:ind w:left="1620"/>
      </w:pPr>
      <w:r>
        <w:t xml:space="preserve">If the agency is not </w:t>
      </w:r>
      <w:r w:rsidR="00936973">
        <w:t>a</w:t>
      </w:r>
      <w:r w:rsidR="00D927E0">
        <w:t>s</w:t>
      </w:r>
      <w:bookmarkStart w:id="0" w:name="_GoBack"/>
      <w:bookmarkEnd w:id="0"/>
      <w:r w:rsidR="00936973">
        <w:t>n ACCH member,</w:t>
      </w:r>
      <w:r>
        <w:t xml:space="preserve"> the agency will have an in-person or phone interview with the Governance Committee and will provide the following information as part of their </w:t>
      </w:r>
      <w:r w:rsidR="0049141C">
        <w:t>L</w:t>
      </w:r>
      <w:r>
        <w:t xml:space="preserve">etter of </w:t>
      </w:r>
      <w:r w:rsidR="0049141C">
        <w:t>S</w:t>
      </w:r>
      <w:r>
        <w:t>upport request:</w:t>
      </w:r>
    </w:p>
    <w:p w14:paraId="0EEDC688" w14:textId="77777777" w:rsidR="00CF7CE5" w:rsidRDefault="00CF7CE5" w:rsidP="00B52A1D">
      <w:pPr>
        <w:pStyle w:val="TableParagraph"/>
        <w:numPr>
          <w:ilvl w:val="2"/>
          <w:numId w:val="1"/>
        </w:numPr>
        <w:autoSpaceDE/>
        <w:autoSpaceDN/>
        <w:ind w:left="2340" w:right="162"/>
      </w:pPr>
      <w:bookmarkStart w:id="1" w:name="_Hlk504729309"/>
      <w:r>
        <w:t>Agency Description (history, mission, who the agency serves, where the agency is located, etc.)</w:t>
      </w:r>
      <w:r w:rsidR="007D531C">
        <w:t xml:space="preserve"> of no more than two pages</w:t>
      </w:r>
    </w:p>
    <w:p w14:paraId="52E5F65E" w14:textId="77777777" w:rsidR="00CF7CE5" w:rsidRDefault="00CF7CE5" w:rsidP="00B52A1D">
      <w:pPr>
        <w:pStyle w:val="TableParagraph"/>
        <w:numPr>
          <w:ilvl w:val="2"/>
          <w:numId w:val="1"/>
        </w:numPr>
        <w:autoSpaceDE/>
        <w:autoSpaceDN/>
        <w:ind w:left="2340" w:right="162"/>
      </w:pPr>
      <w:r>
        <w:t xml:space="preserve">How the agency will become a member </w:t>
      </w:r>
      <w:r w:rsidR="007D531C">
        <w:t xml:space="preserve">of the ACCH </w:t>
      </w:r>
    </w:p>
    <w:bookmarkEnd w:id="1"/>
    <w:p w14:paraId="5B295F5F" w14:textId="77777777" w:rsidR="00ED27AE" w:rsidRDefault="00ED27AE" w:rsidP="00B52A1D">
      <w:pPr>
        <w:pStyle w:val="ListParagraph"/>
        <w:numPr>
          <w:ilvl w:val="0"/>
          <w:numId w:val="1"/>
        </w:numPr>
      </w:pPr>
      <w:r>
        <w:t xml:space="preserve">Governance Committee members must </w:t>
      </w:r>
      <w:r w:rsidR="00B52A1D">
        <w:t xml:space="preserve">reach </w:t>
      </w:r>
      <w:r>
        <w:t xml:space="preserve">consensus </w:t>
      </w:r>
      <w:r w:rsidR="00F6642D">
        <w:t>to</w:t>
      </w:r>
      <w:r>
        <w:t xml:space="preserve"> approv</w:t>
      </w:r>
      <w:r w:rsidR="00F6642D">
        <w:t>e</w:t>
      </w:r>
      <w:r>
        <w:t xml:space="preserve"> in order for the Letter of Support to be granted. If a Governance Committee member is not available (defined as not having responded to </w:t>
      </w:r>
      <w:r w:rsidR="00FA008C">
        <w:t xml:space="preserve">the </w:t>
      </w:r>
      <w:r>
        <w:t xml:space="preserve">other Governance Committee members regarding the </w:t>
      </w:r>
      <w:r w:rsidR="0049141C">
        <w:t>L</w:t>
      </w:r>
      <w:r>
        <w:t xml:space="preserve">etter of </w:t>
      </w:r>
      <w:r w:rsidR="0049141C">
        <w:t>S</w:t>
      </w:r>
      <w:r>
        <w:t>upport request w</w:t>
      </w:r>
      <w:r w:rsidR="0049141C">
        <w:t xml:space="preserve">ithin three business days) </w:t>
      </w:r>
      <w:r>
        <w:t>the remaining two Governance Committee members must come to a consensus of approval in order for the Letter of Support to be granted.</w:t>
      </w:r>
    </w:p>
    <w:p w14:paraId="5D3C9694" w14:textId="77777777" w:rsidR="00ED27AE" w:rsidRDefault="00ED27AE" w:rsidP="00B52A1D">
      <w:pPr>
        <w:pStyle w:val="ListParagraph"/>
        <w:numPr>
          <w:ilvl w:val="1"/>
          <w:numId w:val="1"/>
        </w:numPr>
        <w:tabs>
          <w:tab w:val="left" w:pos="941"/>
        </w:tabs>
        <w:spacing w:before="1"/>
        <w:ind w:left="1620"/>
      </w:pPr>
      <w:r>
        <w:t xml:space="preserve">If </w:t>
      </w:r>
      <w:r w:rsidR="00B52A1D">
        <w:t>consensus is not reached</w:t>
      </w:r>
      <w:r>
        <w:t xml:space="preserve">, the Governance Committee will </w:t>
      </w:r>
      <w:r w:rsidR="00266C47">
        <w:t xml:space="preserve">defer to </w:t>
      </w:r>
      <w:r w:rsidR="007D531C">
        <w:t xml:space="preserve">the Co-Chairs of the ACCH </w:t>
      </w:r>
      <w:r w:rsidR="00266C47">
        <w:t>Board</w:t>
      </w:r>
      <w:r w:rsidR="007D531C">
        <w:t xml:space="preserve"> for final decision</w:t>
      </w:r>
    </w:p>
    <w:p w14:paraId="78698826" w14:textId="77777777" w:rsidR="00CF7CE5" w:rsidRDefault="00CF7CE5" w:rsidP="00CF7CE5">
      <w:pPr>
        <w:pStyle w:val="ListParagraph"/>
        <w:numPr>
          <w:ilvl w:val="0"/>
          <w:numId w:val="1"/>
        </w:numPr>
        <w:tabs>
          <w:tab w:val="left" w:pos="941"/>
        </w:tabs>
        <w:spacing w:before="1"/>
      </w:pPr>
      <w:r>
        <w:t>Governance</w:t>
      </w:r>
      <w:r w:rsidR="0049141C">
        <w:t xml:space="preserve"> Committee will edit the draft L</w:t>
      </w:r>
      <w:r>
        <w:t xml:space="preserve">etter of </w:t>
      </w:r>
      <w:r w:rsidR="0049141C">
        <w:t>S</w:t>
      </w:r>
      <w:r>
        <w:t>upport to omit any information that is subjective or that Governance feels the CoC cannot sign off</w:t>
      </w:r>
      <w:r>
        <w:rPr>
          <w:spacing w:val="-6"/>
        </w:rPr>
        <w:t xml:space="preserve"> </w:t>
      </w:r>
      <w:r>
        <w:t>on.</w:t>
      </w:r>
    </w:p>
    <w:p w14:paraId="03991896" w14:textId="77777777" w:rsidR="00CF7CE5" w:rsidRDefault="00CF7CE5" w:rsidP="00CF7CE5">
      <w:pPr>
        <w:pStyle w:val="ListParagraph"/>
        <w:numPr>
          <w:ilvl w:val="0"/>
          <w:numId w:val="1"/>
        </w:numPr>
        <w:tabs>
          <w:tab w:val="left" w:pos="941"/>
        </w:tabs>
        <w:spacing w:before="1"/>
      </w:pPr>
      <w:r>
        <w:t>Notice of the decision will be provided to the</w:t>
      </w:r>
      <w:r>
        <w:rPr>
          <w:spacing w:val="-5"/>
        </w:rPr>
        <w:t xml:space="preserve"> </w:t>
      </w:r>
      <w:r>
        <w:t>agency by the CARES Staff Lead.</w:t>
      </w:r>
    </w:p>
    <w:p w14:paraId="2350F2DC" w14:textId="77777777" w:rsidR="00CF7CE5" w:rsidRDefault="00CF7CE5">
      <w:pPr>
        <w:pStyle w:val="ListParagraph"/>
        <w:numPr>
          <w:ilvl w:val="0"/>
          <w:numId w:val="1"/>
        </w:numPr>
        <w:tabs>
          <w:tab w:val="left" w:pos="941"/>
        </w:tabs>
        <w:spacing w:before="1"/>
      </w:pPr>
      <w:r>
        <w:t>Upon approval by the Governance Committee, the CARES Staff Lead will format the draft Letter of Support on ACCH letterhead and send it to the ACCH</w:t>
      </w:r>
      <w:r w:rsidR="003D5864">
        <w:t xml:space="preserve"> Board</w:t>
      </w:r>
      <w:r>
        <w:t xml:space="preserve"> Co-Chairs and CARES CoC Director for signature. </w:t>
      </w:r>
    </w:p>
    <w:p w14:paraId="73819685" w14:textId="77777777" w:rsidR="00E377A2" w:rsidRDefault="0062653B">
      <w:pPr>
        <w:pStyle w:val="ListParagraph"/>
        <w:numPr>
          <w:ilvl w:val="0"/>
          <w:numId w:val="1"/>
        </w:numPr>
        <w:tabs>
          <w:tab w:val="left" w:pos="941"/>
        </w:tabs>
        <w:ind w:right="860"/>
      </w:pPr>
      <w:r>
        <w:t>The letter (or decision of denial) will be returned to the agency within 15 business days of receipt of original</w:t>
      </w:r>
      <w:r>
        <w:rPr>
          <w:spacing w:val="-6"/>
        </w:rPr>
        <w:t xml:space="preserve"> </w:t>
      </w:r>
      <w:r>
        <w:t>request.</w:t>
      </w:r>
    </w:p>
    <w:p w14:paraId="4D7859C9" w14:textId="77777777" w:rsidR="00CF7CE5" w:rsidRDefault="00CF7CE5" w:rsidP="00B52A1D">
      <w:pPr>
        <w:pStyle w:val="ListParagraph"/>
        <w:numPr>
          <w:ilvl w:val="0"/>
          <w:numId w:val="1"/>
        </w:numPr>
      </w:pPr>
      <w:r>
        <w:t>ACCH reserves the right to handle exceptions on a case by case</w:t>
      </w:r>
      <w:r w:rsidRPr="00FA008C">
        <w:rPr>
          <w:spacing w:val="-7"/>
        </w:rPr>
        <w:t xml:space="preserve"> </w:t>
      </w:r>
      <w:r>
        <w:t>basis.</w:t>
      </w:r>
    </w:p>
    <w:p w14:paraId="1D195C66" w14:textId="77777777" w:rsidR="00F84764" w:rsidRDefault="00F84764" w:rsidP="00B52A1D">
      <w:pPr>
        <w:tabs>
          <w:tab w:val="left" w:pos="2020"/>
          <w:tab w:val="left" w:pos="2021"/>
        </w:tabs>
      </w:pPr>
    </w:p>
    <w:p w14:paraId="70FA6980" w14:textId="77777777" w:rsidR="00F84764" w:rsidRDefault="00F84764" w:rsidP="00B52A1D">
      <w:pPr>
        <w:tabs>
          <w:tab w:val="left" w:pos="2020"/>
          <w:tab w:val="left" w:pos="2021"/>
        </w:tabs>
      </w:pPr>
      <w:r>
        <w:t xml:space="preserve">*ACCH Member in good standing as described in the ACCH Bylaws: </w:t>
      </w:r>
      <w:r w:rsidR="00F6642D">
        <w:t xml:space="preserve"> </w:t>
      </w:r>
      <w:r w:rsidR="00D24366">
        <w:t xml:space="preserve">members who have attended three out of the last four ACCH Membership meetings. </w:t>
      </w:r>
    </w:p>
    <w:p w14:paraId="51AE5965" w14:textId="77777777" w:rsidR="003D5864" w:rsidRDefault="003D5864" w:rsidP="00B52A1D">
      <w:pPr>
        <w:tabs>
          <w:tab w:val="left" w:pos="2020"/>
          <w:tab w:val="left" w:pos="2021"/>
        </w:tabs>
      </w:pPr>
    </w:p>
    <w:p w14:paraId="28A8684F" w14:textId="77777777" w:rsidR="003D5864" w:rsidRPr="00B52A1D" w:rsidRDefault="003D5864" w:rsidP="00B52A1D">
      <w:pPr>
        <w:tabs>
          <w:tab w:val="left" w:pos="2020"/>
          <w:tab w:val="left" w:pos="2021"/>
        </w:tabs>
        <w:rPr>
          <w:b/>
        </w:rPr>
      </w:pPr>
      <w:r w:rsidRPr="00B52A1D">
        <w:rPr>
          <w:b/>
        </w:rPr>
        <w:t>Contacts</w:t>
      </w:r>
      <w:r w:rsidR="00B52A1D">
        <w:rPr>
          <w:b/>
        </w:rPr>
        <w:t>:</w:t>
      </w:r>
    </w:p>
    <w:p w14:paraId="5FB678C3" w14:textId="77777777" w:rsidR="00B52A1D" w:rsidRDefault="003D5864" w:rsidP="00B52A1D">
      <w:pPr>
        <w:tabs>
          <w:tab w:val="left" w:pos="2020"/>
          <w:tab w:val="left" w:pos="2021"/>
        </w:tabs>
      </w:pPr>
      <w:r>
        <w:t xml:space="preserve">ACCH Board </w:t>
      </w:r>
      <w:r w:rsidR="00B52A1D">
        <w:t>C</w:t>
      </w:r>
      <w:r>
        <w:t xml:space="preserve">o-Chairs: </w:t>
      </w:r>
      <w:r w:rsidR="00B52A1D">
        <w:tab/>
        <w:t>Liz Hitt, HATAS</w:t>
      </w:r>
    </w:p>
    <w:p w14:paraId="7643B76A" w14:textId="77777777" w:rsidR="003D5864" w:rsidRDefault="00B52A1D" w:rsidP="00B52A1D">
      <w:pPr>
        <w:tabs>
          <w:tab w:val="left" w:pos="2020"/>
          <w:tab w:val="left" w:pos="2021"/>
        </w:tabs>
      </w:pPr>
      <w:r>
        <w:tab/>
      </w:r>
      <w:r>
        <w:tab/>
      </w:r>
      <w:r>
        <w:tab/>
      </w:r>
      <w:r w:rsidR="003D5864">
        <w:t>Dominick Sondrini, Soldier On</w:t>
      </w:r>
    </w:p>
    <w:p w14:paraId="1EE050E6" w14:textId="77777777" w:rsidR="003D5864" w:rsidRDefault="003D5864" w:rsidP="00B52A1D">
      <w:pPr>
        <w:tabs>
          <w:tab w:val="left" w:pos="2020"/>
          <w:tab w:val="left" w:pos="2021"/>
        </w:tabs>
      </w:pPr>
      <w:r>
        <w:tab/>
        <w:t xml:space="preserve"> </w:t>
      </w:r>
    </w:p>
    <w:p w14:paraId="1E8C56E8" w14:textId="77777777" w:rsidR="003D5864" w:rsidRDefault="003D5864" w:rsidP="00B52A1D">
      <w:pPr>
        <w:tabs>
          <w:tab w:val="left" w:pos="2020"/>
          <w:tab w:val="left" w:pos="2021"/>
        </w:tabs>
      </w:pPr>
      <w:r>
        <w:t xml:space="preserve">CARES </w:t>
      </w:r>
      <w:r w:rsidR="00B52A1D">
        <w:t xml:space="preserve">Planning Unit </w:t>
      </w:r>
      <w:r>
        <w:t>Director:</w:t>
      </w:r>
      <w:r w:rsidR="00B52A1D">
        <w:t xml:space="preserve">  </w:t>
      </w:r>
      <w:r>
        <w:t>Michelle Sandoz-Dennis</w:t>
      </w:r>
    </w:p>
    <w:p w14:paraId="08EEC379" w14:textId="77777777" w:rsidR="003D5864" w:rsidRDefault="003D5864" w:rsidP="00B52A1D">
      <w:pPr>
        <w:tabs>
          <w:tab w:val="left" w:pos="2020"/>
          <w:tab w:val="left" w:pos="2021"/>
        </w:tabs>
      </w:pPr>
    </w:p>
    <w:p w14:paraId="4ACDAD7B" w14:textId="77777777" w:rsidR="003D5864" w:rsidRDefault="003D5864" w:rsidP="00B52A1D">
      <w:pPr>
        <w:tabs>
          <w:tab w:val="left" w:pos="2020"/>
          <w:tab w:val="left" w:pos="2021"/>
        </w:tabs>
      </w:pPr>
      <w:r>
        <w:t xml:space="preserve">CARES Staff Lead: </w:t>
      </w:r>
      <w:r w:rsidR="00B52A1D">
        <w:t xml:space="preserve"> </w:t>
      </w:r>
      <w:r>
        <w:t xml:space="preserve">Maggie Watson </w:t>
      </w:r>
    </w:p>
    <w:sectPr w:rsidR="003D5864">
      <w:type w:val="continuous"/>
      <w:pgSz w:w="12240" w:h="15840"/>
      <w:pgMar w:top="7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F2464"/>
    <w:multiLevelType w:val="hybridMultilevel"/>
    <w:tmpl w:val="84844D7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7F826607"/>
    <w:multiLevelType w:val="hybridMultilevel"/>
    <w:tmpl w:val="CF56BE1E"/>
    <w:lvl w:ilvl="0" w:tplc="2F9025FA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6176427E">
      <w:numFmt w:val="bullet"/>
      <w:lvlText w:val="-"/>
      <w:lvlJc w:val="left"/>
      <w:pPr>
        <w:ind w:left="20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6A3A8A4C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en-US"/>
      </w:rPr>
    </w:lvl>
    <w:lvl w:ilvl="3" w:tplc="FBE2CF22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en-US"/>
      </w:rPr>
    </w:lvl>
    <w:lvl w:ilvl="4" w:tplc="D8DE3D28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en-US"/>
      </w:rPr>
    </w:lvl>
    <w:lvl w:ilvl="5" w:tplc="72EAF4A2">
      <w:numFmt w:val="bullet"/>
      <w:lvlText w:val="•"/>
      <w:lvlJc w:val="left"/>
      <w:pPr>
        <w:ind w:left="5477" w:hanging="360"/>
      </w:pPr>
      <w:rPr>
        <w:rFonts w:hint="default"/>
        <w:lang w:val="en-US" w:eastAsia="en-US" w:bidi="en-US"/>
      </w:rPr>
    </w:lvl>
    <w:lvl w:ilvl="6" w:tplc="92B0E536"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en-US"/>
      </w:rPr>
    </w:lvl>
    <w:lvl w:ilvl="7" w:tplc="064ABC3C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en-US"/>
      </w:rPr>
    </w:lvl>
    <w:lvl w:ilvl="8" w:tplc="BF0CE64A">
      <w:numFmt w:val="bullet"/>
      <w:lvlText w:val="•"/>
      <w:lvlJc w:val="left"/>
      <w:pPr>
        <w:ind w:left="8071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A2"/>
    <w:rsid w:val="00266C47"/>
    <w:rsid w:val="003D5864"/>
    <w:rsid w:val="0049141C"/>
    <w:rsid w:val="0062653B"/>
    <w:rsid w:val="007D531C"/>
    <w:rsid w:val="00936973"/>
    <w:rsid w:val="00B52A1D"/>
    <w:rsid w:val="00CF7CE5"/>
    <w:rsid w:val="00D24366"/>
    <w:rsid w:val="00D269D7"/>
    <w:rsid w:val="00D927E0"/>
    <w:rsid w:val="00E377A2"/>
    <w:rsid w:val="00ED27AE"/>
    <w:rsid w:val="00F6642D"/>
    <w:rsid w:val="00F84764"/>
    <w:rsid w:val="00FA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50DF"/>
  <w15:docId w15:val="{5930D318-EC8B-4852-8C58-17EF48AA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0"/>
    </w:p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7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E5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3D586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58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377</Words>
  <Characters>2150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and Procedure Regarding Letters of support</vt:lpstr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Procedure Regarding Letters of support</dc:title>
  <dc:creator>Tess</dc:creator>
  <cp:lastModifiedBy>Rebehn, Emily T</cp:lastModifiedBy>
  <cp:revision>7</cp:revision>
  <cp:lastPrinted>2018-03-08T19:21:00Z</cp:lastPrinted>
  <dcterms:created xsi:type="dcterms:W3CDTF">2018-03-02T18:15:00Z</dcterms:created>
  <dcterms:modified xsi:type="dcterms:W3CDTF">2018-06-15T15:54:00Z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2018-01-26T00:00:00Z</vt:filetime>
  </property>
</Properties>
</file>